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911F3" w14:textId="2EFCB9CC" w:rsidR="00B8754E" w:rsidRPr="00B8754E" w:rsidRDefault="00513C34" w:rsidP="00B8754E">
      <w:pPr>
        <w:spacing w:after="0"/>
        <w:rPr>
          <w:rFonts w:ascii="Times New Roman" w:hAnsi="Times New Roman" w:cs="Times New Roman"/>
          <w:b/>
          <w:u w:val="single"/>
          <w:lang w:val="en-US"/>
        </w:rPr>
      </w:pPr>
      <w:r>
        <w:rPr>
          <w:rFonts w:ascii="Times New Roman" w:hAnsi="Times New Roman" w:cs="Times New Roman"/>
          <w:b/>
          <w:u w:val="single"/>
          <w:lang w:val="en-US"/>
        </w:rPr>
        <w:t xml:space="preserve">Supplementary </w:t>
      </w:r>
      <w:r w:rsidR="008D4CD0">
        <w:rPr>
          <w:rFonts w:ascii="Times New Roman" w:hAnsi="Times New Roman" w:cs="Times New Roman"/>
          <w:b/>
          <w:u w:val="single"/>
          <w:lang w:val="en-US"/>
        </w:rPr>
        <w:t>M</w:t>
      </w:r>
      <w:r>
        <w:rPr>
          <w:rFonts w:ascii="Times New Roman" w:hAnsi="Times New Roman" w:cs="Times New Roman"/>
          <w:b/>
          <w:u w:val="single"/>
          <w:lang w:val="en-US"/>
        </w:rPr>
        <w:t>aterial</w:t>
      </w:r>
      <w:r w:rsidR="00BD48C2">
        <w:rPr>
          <w:rFonts w:ascii="Times New Roman" w:hAnsi="Times New Roman" w:cs="Times New Roman"/>
          <w:b/>
          <w:u w:val="single"/>
          <w:lang w:val="en-US"/>
        </w:rPr>
        <w:t xml:space="preserve"> 2: </w:t>
      </w:r>
      <w:r w:rsidR="00BC7BFF">
        <w:rPr>
          <w:rFonts w:ascii="Times New Roman" w:hAnsi="Times New Roman" w:cs="Times New Roman"/>
          <w:b/>
          <w:u w:val="single"/>
          <w:lang w:val="en-US"/>
        </w:rPr>
        <w:t xml:space="preserve">Barents Sea Cod Diet Database </w:t>
      </w:r>
      <w:r w:rsidR="00F76DD2">
        <w:rPr>
          <w:rFonts w:ascii="Times New Roman" w:hAnsi="Times New Roman" w:cs="Times New Roman"/>
          <w:b/>
          <w:u w:val="single"/>
          <w:lang w:val="en-US"/>
        </w:rPr>
        <w:t>Information</w:t>
      </w:r>
    </w:p>
    <w:p w14:paraId="113F29FC" w14:textId="77777777" w:rsidR="00155C53" w:rsidRDefault="00155C53" w:rsidP="00B8754E">
      <w:pPr>
        <w:pStyle w:val="Default"/>
        <w:jc w:val="both"/>
        <w:rPr>
          <w:sz w:val="22"/>
          <w:szCs w:val="22"/>
          <w:lang w:val="en-US"/>
        </w:rPr>
      </w:pPr>
    </w:p>
    <w:p w14:paraId="3F3A720D" w14:textId="77777777" w:rsidR="00B8754E" w:rsidRDefault="003F09AB" w:rsidP="00B8754E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Data records: </w:t>
      </w:r>
      <w:r w:rsidR="00B8754E" w:rsidRPr="00B8754E">
        <w:rPr>
          <w:sz w:val="22"/>
          <w:szCs w:val="22"/>
          <w:lang w:val="en-US"/>
        </w:rPr>
        <w:t xml:space="preserve">Each line in the data file represents a </w:t>
      </w:r>
      <w:r w:rsidR="003C2954">
        <w:rPr>
          <w:sz w:val="22"/>
          <w:szCs w:val="22"/>
          <w:lang w:val="en-US"/>
        </w:rPr>
        <w:t xml:space="preserve">single </w:t>
      </w:r>
      <w:r w:rsidR="00B8754E" w:rsidRPr="00B8754E">
        <w:rPr>
          <w:sz w:val="22"/>
          <w:szCs w:val="22"/>
          <w:lang w:val="en-US"/>
        </w:rPr>
        <w:t xml:space="preserve">prey item. The first </w:t>
      </w:r>
      <w:r w:rsidR="006417E4">
        <w:rPr>
          <w:sz w:val="22"/>
          <w:szCs w:val="22"/>
          <w:lang w:val="en-US"/>
        </w:rPr>
        <w:t>columns (1-12</w:t>
      </w:r>
      <w:r w:rsidR="00B8754E" w:rsidRPr="00B8754E">
        <w:rPr>
          <w:sz w:val="22"/>
          <w:szCs w:val="22"/>
          <w:lang w:val="en-US"/>
        </w:rPr>
        <w:t>) d</w:t>
      </w:r>
      <w:r w:rsidR="0029782C">
        <w:rPr>
          <w:sz w:val="22"/>
          <w:szCs w:val="22"/>
          <w:lang w:val="en-US"/>
        </w:rPr>
        <w:t>escribe predator</w:t>
      </w:r>
      <w:r w:rsidR="00B8754E" w:rsidRPr="00B8754E">
        <w:rPr>
          <w:sz w:val="22"/>
          <w:szCs w:val="22"/>
          <w:lang w:val="en-US"/>
        </w:rPr>
        <w:t xml:space="preserve"> information. From column </w:t>
      </w:r>
      <w:r w:rsidR="008F7951">
        <w:rPr>
          <w:sz w:val="22"/>
          <w:szCs w:val="22"/>
          <w:lang w:val="en-US"/>
        </w:rPr>
        <w:t>1</w:t>
      </w:r>
      <w:r w:rsidR="006417E4">
        <w:rPr>
          <w:sz w:val="22"/>
          <w:szCs w:val="22"/>
          <w:lang w:val="en-US"/>
        </w:rPr>
        <w:t>3</w:t>
      </w:r>
      <w:r w:rsidR="003C2954">
        <w:rPr>
          <w:sz w:val="22"/>
          <w:szCs w:val="22"/>
          <w:lang w:val="en-US"/>
        </w:rPr>
        <w:t xml:space="preserve"> (Prey)</w:t>
      </w:r>
      <w:r w:rsidR="0029782C">
        <w:rPr>
          <w:sz w:val="22"/>
          <w:szCs w:val="22"/>
          <w:lang w:val="en-US"/>
        </w:rPr>
        <w:t xml:space="preserve"> onwards, </w:t>
      </w:r>
      <w:r w:rsidR="008F7951">
        <w:rPr>
          <w:sz w:val="22"/>
          <w:szCs w:val="22"/>
          <w:lang w:val="en-US"/>
        </w:rPr>
        <w:t>pr</w:t>
      </w:r>
      <w:r w:rsidR="0029782C">
        <w:rPr>
          <w:sz w:val="22"/>
          <w:szCs w:val="22"/>
          <w:lang w:val="en-US"/>
        </w:rPr>
        <w:t>ey</w:t>
      </w:r>
      <w:r w:rsidR="00B8754E" w:rsidRPr="00B8754E">
        <w:rPr>
          <w:sz w:val="22"/>
          <w:szCs w:val="22"/>
          <w:lang w:val="en-US"/>
        </w:rPr>
        <w:t xml:space="preserve"> information is described for each prey item in said predat</w:t>
      </w:r>
      <w:r w:rsidR="008F7951">
        <w:rPr>
          <w:sz w:val="22"/>
          <w:szCs w:val="22"/>
          <w:lang w:val="en-US"/>
        </w:rPr>
        <w:t xml:space="preserve">or. If multiple prey items were </w:t>
      </w:r>
      <w:r w:rsidR="00B8754E" w:rsidRPr="00B8754E">
        <w:rPr>
          <w:sz w:val="22"/>
          <w:szCs w:val="22"/>
          <w:lang w:val="en-US"/>
        </w:rPr>
        <w:t>found in the stomach of one predator, predat</w:t>
      </w:r>
      <w:r w:rsidR="00746509">
        <w:rPr>
          <w:sz w:val="22"/>
          <w:szCs w:val="22"/>
          <w:lang w:val="en-US"/>
        </w:rPr>
        <w:t>or information (columns 1-</w:t>
      </w:r>
      <w:r w:rsidR="008F7951">
        <w:rPr>
          <w:sz w:val="22"/>
          <w:szCs w:val="22"/>
          <w:lang w:val="en-US"/>
        </w:rPr>
        <w:t>1</w:t>
      </w:r>
      <w:r w:rsidR="006417E4">
        <w:rPr>
          <w:sz w:val="22"/>
          <w:szCs w:val="22"/>
          <w:lang w:val="en-US"/>
        </w:rPr>
        <w:t>2</w:t>
      </w:r>
      <w:r w:rsidR="00746509">
        <w:rPr>
          <w:sz w:val="22"/>
          <w:szCs w:val="22"/>
          <w:lang w:val="en-US"/>
        </w:rPr>
        <w:t>) are</w:t>
      </w:r>
      <w:r w:rsidR="00B8754E" w:rsidRPr="00B8754E">
        <w:rPr>
          <w:sz w:val="22"/>
          <w:szCs w:val="22"/>
          <w:lang w:val="en-US"/>
        </w:rPr>
        <w:t xml:space="preserve"> repeated for each individual prey. </w:t>
      </w:r>
      <w:r w:rsidR="003A2619">
        <w:rPr>
          <w:sz w:val="22"/>
          <w:szCs w:val="22"/>
          <w:lang w:val="en-US"/>
        </w:rPr>
        <w:t xml:space="preserve">If </w:t>
      </w:r>
      <w:r w:rsidR="00F32F63">
        <w:rPr>
          <w:sz w:val="22"/>
          <w:szCs w:val="22"/>
          <w:lang w:val="en-US"/>
        </w:rPr>
        <w:t xml:space="preserve">a cod </w:t>
      </w:r>
      <w:r w:rsidR="003A2619">
        <w:rPr>
          <w:sz w:val="22"/>
          <w:szCs w:val="22"/>
          <w:lang w:val="en-US"/>
        </w:rPr>
        <w:t xml:space="preserve">stomach was empty, </w:t>
      </w:r>
      <w:r w:rsidR="003C2954">
        <w:rPr>
          <w:sz w:val="22"/>
          <w:szCs w:val="22"/>
          <w:lang w:val="en-US"/>
        </w:rPr>
        <w:t>“</w:t>
      </w:r>
      <w:r w:rsidR="003A2619">
        <w:rPr>
          <w:sz w:val="22"/>
          <w:szCs w:val="22"/>
          <w:lang w:val="en-US"/>
        </w:rPr>
        <w:t>Empty</w:t>
      </w:r>
      <w:r w:rsidR="003C2954">
        <w:rPr>
          <w:sz w:val="22"/>
          <w:szCs w:val="22"/>
          <w:lang w:val="en-US"/>
        </w:rPr>
        <w:t>”</w:t>
      </w:r>
      <w:r w:rsidR="003A2619">
        <w:rPr>
          <w:sz w:val="22"/>
          <w:szCs w:val="22"/>
          <w:lang w:val="en-US"/>
        </w:rPr>
        <w:t xml:space="preserve"> is detailed in the </w:t>
      </w:r>
      <w:r w:rsidR="00F32F63">
        <w:rPr>
          <w:sz w:val="22"/>
          <w:szCs w:val="22"/>
          <w:lang w:val="en-US"/>
        </w:rPr>
        <w:t>“</w:t>
      </w:r>
      <w:r w:rsidR="003A2619">
        <w:rPr>
          <w:sz w:val="22"/>
          <w:szCs w:val="22"/>
          <w:lang w:val="en-US"/>
        </w:rPr>
        <w:t>Prey</w:t>
      </w:r>
      <w:r w:rsidR="00F32F63">
        <w:rPr>
          <w:sz w:val="22"/>
          <w:szCs w:val="22"/>
          <w:lang w:val="en-US"/>
        </w:rPr>
        <w:t>”</w:t>
      </w:r>
      <w:r w:rsidR="003A2619">
        <w:rPr>
          <w:sz w:val="22"/>
          <w:szCs w:val="22"/>
          <w:lang w:val="en-US"/>
        </w:rPr>
        <w:t xml:space="preserve"> column, and thus only predator information is available</w:t>
      </w:r>
      <w:r w:rsidR="003C2954">
        <w:rPr>
          <w:sz w:val="22"/>
          <w:szCs w:val="22"/>
          <w:lang w:val="en-US"/>
        </w:rPr>
        <w:t xml:space="preserve"> for those entries</w:t>
      </w:r>
      <w:r w:rsidR="003A2619">
        <w:rPr>
          <w:sz w:val="22"/>
          <w:szCs w:val="22"/>
          <w:lang w:val="en-US"/>
        </w:rPr>
        <w:t xml:space="preserve">. Data columns </w:t>
      </w:r>
      <w:r w:rsidR="006417E4">
        <w:rPr>
          <w:sz w:val="22"/>
          <w:szCs w:val="22"/>
          <w:lang w:val="en-US"/>
        </w:rPr>
        <w:t>4 (Ship Code), 9 (</w:t>
      </w:r>
      <w:proofErr w:type="spellStart"/>
      <w:r w:rsidR="006417E4">
        <w:rPr>
          <w:sz w:val="22"/>
          <w:szCs w:val="22"/>
          <w:lang w:val="en-US"/>
        </w:rPr>
        <w:t>Fish_Weight_kg</w:t>
      </w:r>
      <w:proofErr w:type="spellEnd"/>
      <w:r w:rsidR="006417E4">
        <w:rPr>
          <w:sz w:val="22"/>
          <w:szCs w:val="22"/>
          <w:lang w:val="en-US"/>
        </w:rPr>
        <w:t>), 10 (</w:t>
      </w:r>
      <w:proofErr w:type="spellStart"/>
      <w:r w:rsidR="006417E4">
        <w:rPr>
          <w:sz w:val="22"/>
          <w:szCs w:val="22"/>
          <w:lang w:val="en-US"/>
        </w:rPr>
        <w:t>Age_y</w:t>
      </w:r>
      <w:proofErr w:type="spellEnd"/>
      <w:r w:rsidR="006417E4">
        <w:rPr>
          <w:sz w:val="22"/>
          <w:szCs w:val="22"/>
          <w:lang w:val="en-US"/>
        </w:rPr>
        <w:t>), 11 (</w:t>
      </w:r>
      <w:proofErr w:type="spellStart"/>
      <w:r w:rsidR="006417E4">
        <w:rPr>
          <w:sz w:val="22"/>
          <w:szCs w:val="22"/>
          <w:lang w:val="en-US"/>
        </w:rPr>
        <w:t>Deg_Stomach_Fullness</w:t>
      </w:r>
      <w:proofErr w:type="spellEnd"/>
      <w:r w:rsidR="006417E4">
        <w:rPr>
          <w:sz w:val="22"/>
          <w:szCs w:val="22"/>
          <w:lang w:val="en-US"/>
        </w:rPr>
        <w:t>) and 12 (Sex) only relate to IMR</w:t>
      </w:r>
      <w:r w:rsidR="00FF5FA5">
        <w:rPr>
          <w:sz w:val="22"/>
          <w:szCs w:val="22"/>
          <w:lang w:val="en-US"/>
        </w:rPr>
        <w:t>-PINRO</w:t>
      </w:r>
      <w:r w:rsidR="006417E4">
        <w:rPr>
          <w:sz w:val="22"/>
          <w:szCs w:val="22"/>
          <w:lang w:val="en-US"/>
        </w:rPr>
        <w:t xml:space="preserve"> data (Norway</w:t>
      </w:r>
      <w:r w:rsidR="00FF5FA5">
        <w:rPr>
          <w:sz w:val="22"/>
          <w:szCs w:val="22"/>
          <w:lang w:val="en-US"/>
        </w:rPr>
        <w:t xml:space="preserve"> and Russia</w:t>
      </w:r>
      <w:r w:rsidR="006417E4">
        <w:rPr>
          <w:sz w:val="22"/>
          <w:szCs w:val="22"/>
          <w:lang w:val="en-US"/>
        </w:rPr>
        <w:t>). Columns 23 and 24 (</w:t>
      </w:r>
      <w:proofErr w:type="spellStart"/>
      <w:r w:rsidR="006417E4">
        <w:rPr>
          <w:sz w:val="22"/>
          <w:szCs w:val="22"/>
          <w:lang w:val="en-US"/>
        </w:rPr>
        <w:t>No_of</w:t>
      </w:r>
      <w:r w:rsidR="006417E4">
        <w:rPr>
          <w:sz w:val="22"/>
          <w:szCs w:val="22"/>
          <w:lang w:val="en-US"/>
        </w:rPr>
        <w:softHyphen/>
        <w:t>_Stomachs</w:t>
      </w:r>
      <w:proofErr w:type="spellEnd"/>
      <w:r w:rsidR="006417E4">
        <w:rPr>
          <w:sz w:val="22"/>
          <w:szCs w:val="22"/>
          <w:lang w:val="en-US"/>
        </w:rPr>
        <w:t xml:space="preserve"> and Pooled) relate only to CEFAS (U.K) data, all other columns relate to both components</w:t>
      </w:r>
      <w:r w:rsidR="00764E5B">
        <w:rPr>
          <w:sz w:val="22"/>
          <w:szCs w:val="22"/>
          <w:lang w:val="en-US"/>
        </w:rPr>
        <w:t xml:space="preserve"> (IMR-PINRO &amp; CEFAS)</w:t>
      </w:r>
      <w:r w:rsidR="006417E4">
        <w:rPr>
          <w:sz w:val="22"/>
          <w:szCs w:val="22"/>
          <w:lang w:val="en-US"/>
        </w:rPr>
        <w:t xml:space="preserve"> of the dataset. </w:t>
      </w:r>
    </w:p>
    <w:p w14:paraId="40363DD4" w14:textId="77777777" w:rsidR="00155C53" w:rsidRPr="00B8754E" w:rsidRDefault="00155C53" w:rsidP="00B8754E">
      <w:pPr>
        <w:pStyle w:val="Default"/>
        <w:jc w:val="both"/>
        <w:rPr>
          <w:sz w:val="22"/>
          <w:szCs w:val="22"/>
          <w:lang w:val="en-US"/>
        </w:rPr>
      </w:pPr>
    </w:p>
    <w:p w14:paraId="7BEED770" w14:textId="77777777" w:rsidR="00B8754E" w:rsidRDefault="00B8754E" w:rsidP="00B8754E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B8754E">
        <w:rPr>
          <w:rFonts w:ascii="Times New Roman" w:hAnsi="Times New Roman" w:cs="Times New Roman"/>
        </w:rPr>
        <w:t xml:space="preserve">Table 1. Information for each data column. </w:t>
      </w:r>
      <w:r w:rsidRPr="00B8754E">
        <w:rPr>
          <w:rFonts w:ascii="Times New Roman" w:hAnsi="Times New Roman" w:cs="Times New Roman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4913"/>
        <w:gridCol w:w="1129"/>
      </w:tblGrid>
      <w:tr w:rsidR="00B8754E" w:rsidRPr="0098285E" w14:paraId="10CA6607" w14:textId="77777777" w:rsidTr="00B8754E">
        <w:tc>
          <w:tcPr>
            <w:tcW w:w="3020" w:type="dxa"/>
            <w:shd w:val="clear" w:color="auto" w:fill="D9D9D9" w:themeFill="background1" w:themeFillShade="D9"/>
          </w:tcPr>
          <w:p w14:paraId="14CBD355" w14:textId="77777777" w:rsidR="00B8754E" w:rsidRPr="0098285E" w:rsidRDefault="00B8754E" w:rsidP="00B8754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98285E">
              <w:rPr>
                <w:rFonts w:ascii="Times New Roman" w:hAnsi="Times New Roman" w:cs="Times New Roman"/>
                <w:b/>
                <w:lang w:val="en-US"/>
              </w:rPr>
              <w:t>Column Name</w:t>
            </w:r>
          </w:p>
        </w:tc>
        <w:tc>
          <w:tcPr>
            <w:tcW w:w="4913" w:type="dxa"/>
            <w:shd w:val="clear" w:color="auto" w:fill="D9D9D9" w:themeFill="background1" w:themeFillShade="D9"/>
          </w:tcPr>
          <w:p w14:paraId="6A77303B" w14:textId="77777777" w:rsidR="00B8754E" w:rsidRPr="0098285E" w:rsidRDefault="00B8754E" w:rsidP="00B8754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98285E">
              <w:rPr>
                <w:rFonts w:ascii="Times New Roman" w:hAnsi="Times New Roman" w:cs="Times New Roman"/>
                <w:b/>
                <w:lang w:val="en-US"/>
              </w:rPr>
              <w:t>Information</w:t>
            </w:r>
          </w:p>
        </w:tc>
        <w:tc>
          <w:tcPr>
            <w:tcW w:w="1129" w:type="dxa"/>
            <w:shd w:val="clear" w:color="auto" w:fill="D9D9D9" w:themeFill="background1" w:themeFillShade="D9"/>
          </w:tcPr>
          <w:p w14:paraId="798224CB" w14:textId="77777777" w:rsidR="00B8754E" w:rsidRPr="0098285E" w:rsidRDefault="00B8754E" w:rsidP="00B8754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98285E">
              <w:rPr>
                <w:rFonts w:ascii="Times New Roman" w:hAnsi="Times New Roman" w:cs="Times New Roman"/>
                <w:b/>
                <w:lang w:val="en-US"/>
              </w:rPr>
              <w:t>Units</w:t>
            </w:r>
          </w:p>
        </w:tc>
      </w:tr>
      <w:tr w:rsidR="00B8754E" w:rsidRPr="0098285E" w14:paraId="63288470" w14:textId="77777777" w:rsidTr="00B8754E">
        <w:tc>
          <w:tcPr>
            <w:tcW w:w="3020" w:type="dxa"/>
          </w:tcPr>
          <w:p w14:paraId="3FB8CBC5" w14:textId="77777777" w:rsidR="00B8754E" w:rsidRPr="0098285E" w:rsidRDefault="00CD5BE5" w:rsidP="00B8754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Data_ID</w:t>
            </w:r>
            <w:proofErr w:type="spellEnd"/>
          </w:p>
        </w:tc>
        <w:tc>
          <w:tcPr>
            <w:tcW w:w="491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697"/>
            </w:tblGrid>
            <w:tr w:rsidR="00CD5BE5" w:rsidRPr="00CD5BE5" w14:paraId="30829715" w14:textId="77777777">
              <w:trPr>
                <w:trHeight w:val="226"/>
              </w:trPr>
              <w:tc>
                <w:tcPr>
                  <w:tcW w:w="0" w:type="auto"/>
                </w:tcPr>
                <w:p w14:paraId="2F6E2B5F" w14:textId="77777777" w:rsidR="00CD5BE5" w:rsidRPr="00CD5BE5" w:rsidRDefault="00CD5BE5" w:rsidP="009151F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27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 w:rsidRPr="00CD5BE5"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 xml:space="preserve">Details whether the data is from either the IMR-PINRO joint database or CEFAS </w:t>
                  </w:r>
                </w:p>
              </w:tc>
            </w:tr>
          </w:tbl>
          <w:p w14:paraId="1CEAC39E" w14:textId="77777777" w:rsidR="00B8754E" w:rsidRPr="00CD5BE5" w:rsidRDefault="00B8754E" w:rsidP="00B875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14:paraId="755F46B5" w14:textId="77777777" w:rsidR="00B8754E" w:rsidRPr="0098285E" w:rsidRDefault="00CD5BE5" w:rsidP="00B8754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D5BE5" w:rsidRPr="0098285E" w14:paraId="4CE2EEDB" w14:textId="77777777" w:rsidTr="00B8754E">
        <w:tc>
          <w:tcPr>
            <w:tcW w:w="3020" w:type="dxa"/>
          </w:tcPr>
          <w:p w14:paraId="246DB21A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8285E">
              <w:rPr>
                <w:rFonts w:ascii="Times New Roman" w:hAnsi="Times New Roman" w:cs="Times New Roman"/>
                <w:lang w:val="en-US"/>
              </w:rPr>
              <w:t>Ser_No_Fish</w:t>
            </w:r>
            <w:proofErr w:type="spellEnd"/>
          </w:p>
        </w:tc>
        <w:tc>
          <w:tcPr>
            <w:tcW w:w="4913" w:type="dxa"/>
          </w:tcPr>
          <w:p w14:paraId="1F565B20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8285E">
              <w:rPr>
                <w:rFonts w:ascii="Times New Roman" w:hAnsi="Times New Roman" w:cs="Times New Roman"/>
                <w:lang w:val="en-US"/>
              </w:rPr>
              <w:t xml:space="preserve">Serial number for each </w:t>
            </w:r>
            <w:r w:rsidR="00764E5B">
              <w:rPr>
                <w:rFonts w:ascii="Times New Roman" w:hAnsi="Times New Roman" w:cs="Times New Roman"/>
                <w:lang w:val="en-US"/>
              </w:rPr>
              <w:t xml:space="preserve">individual </w:t>
            </w:r>
            <w:r w:rsidRPr="0098285E">
              <w:rPr>
                <w:rFonts w:ascii="Times New Roman" w:hAnsi="Times New Roman" w:cs="Times New Roman"/>
                <w:lang w:val="en-US"/>
              </w:rPr>
              <w:t>fish</w:t>
            </w:r>
          </w:p>
        </w:tc>
        <w:tc>
          <w:tcPr>
            <w:tcW w:w="1129" w:type="dxa"/>
          </w:tcPr>
          <w:p w14:paraId="4EF29FA2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D5BE5" w:rsidRPr="0098285E" w14:paraId="0E72FF58" w14:textId="77777777" w:rsidTr="00B8754E">
        <w:tc>
          <w:tcPr>
            <w:tcW w:w="3020" w:type="dxa"/>
          </w:tcPr>
          <w:p w14:paraId="38F21BB4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8285E">
              <w:rPr>
                <w:rFonts w:ascii="Times New Roman" w:hAnsi="Times New Roman" w:cs="Times New Roman"/>
                <w:lang w:val="en-US"/>
              </w:rPr>
              <w:t>Country</w:t>
            </w:r>
          </w:p>
        </w:tc>
        <w:tc>
          <w:tcPr>
            <w:tcW w:w="4913" w:type="dxa"/>
          </w:tcPr>
          <w:p w14:paraId="3B1DA18E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8285E">
              <w:rPr>
                <w:rFonts w:ascii="Times New Roman" w:hAnsi="Times New Roman" w:cs="Times New Roman"/>
                <w:lang w:val="en-US"/>
              </w:rPr>
              <w:t>Country code denoting either:</w:t>
            </w:r>
          </w:p>
          <w:p w14:paraId="7ACBA444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8285E">
              <w:rPr>
                <w:rFonts w:ascii="Times New Roman" w:hAnsi="Times New Roman" w:cs="Times New Roman"/>
                <w:lang w:val="en-US"/>
              </w:rPr>
              <w:t>58: Norway</w:t>
            </w:r>
            <w:r>
              <w:rPr>
                <w:rFonts w:ascii="Times New Roman" w:hAnsi="Times New Roman" w:cs="Times New Roman"/>
                <w:lang w:val="en-US"/>
              </w:rPr>
              <w:t xml:space="preserve"> (IMR-PINRO Database)</w:t>
            </w:r>
          </w:p>
          <w:p w14:paraId="0171ACEF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U.K: CEFAS Data</w:t>
            </w:r>
          </w:p>
        </w:tc>
        <w:tc>
          <w:tcPr>
            <w:tcW w:w="1129" w:type="dxa"/>
          </w:tcPr>
          <w:p w14:paraId="0103EBA0" w14:textId="60F60DE4" w:rsidR="00CD5BE5" w:rsidRPr="0098285E" w:rsidRDefault="0054658F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D5BE5" w:rsidRPr="0098285E" w14:paraId="6D34109B" w14:textId="77777777" w:rsidTr="00B8754E">
        <w:tc>
          <w:tcPr>
            <w:tcW w:w="3020" w:type="dxa"/>
          </w:tcPr>
          <w:p w14:paraId="6CBA8401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8285E">
              <w:rPr>
                <w:rFonts w:ascii="Times New Roman" w:hAnsi="Times New Roman" w:cs="Times New Roman"/>
                <w:lang w:val="en-US"/>
              </w:rPr>
              <w:t>Ship_kode</w:t>
            </w:r>
            <w:proofErr w:type="spellEnd"/>
          </w:p>
        </w:tc>
        <w:tc>
          <w:tcPr>
            <w:tcW w:w="4913" w:type="dxa"/>
          </w:tcPr>
          <w:p w14:paraId="4A671249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8285E">
              <w:rPr>
                <w:rFonts w:ascii="Times New Roman" w:hAnsi="Times New Roman" w:cs="Times New Roman"/>
                <w:lang w:val="en-US"/>
              </w:rPr>
              <w:t>Ship identification code</w:t>
            </w:r>
          </w:p>
        </w:tc>
        <w:tc>
          <w:tcPr>
            <w:tcW w:w="1129" w:type="dxa"/>
          </w:tcPr>
          <w:p w14:paraId="6F355CBF" w14:textId="5A7FD126" w:rsidR="00CD5BE5" w:rsidRPr="0098285E" w:rsidRDefault="0054658F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D5BE5" w:rsidRPr="0098285E" w14:paraId="4FD2F988" w14:textId="77777777" w:rsidTr="00B8754E">
        <w:tc>
          <w:tcPr>
            <w:tcW w:w="3020" w:type="dxa"/>
          </w:tcPr>
          <w:p w14:paraId="016E0904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Year</w:t>
            </w:r>
          </w:p>
        </w:tc>
        <w:tc>
          <w:tcPr>
            <w:tcW w:w="4913" w:type="dxa"/>
          </w:tcPr>
          <w:p w14:paraId="755C97EC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9" w:type="dxa"/>
          </w:tcPr>
          <w:p w14:paraId="7C3D1EC9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D5BE5" w:rsidRPr="0098285E" w14:paraId="47A4539D" w14:textId="77777777" w:rsidTr="00B8754E">
        <w:tc>
          <w:tcPr>
            <w:tcW w:w="3020" w:type="dxa"/>
          </w:tcPr>
          <w:p w14:paraId="6BBBC1A0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Month</w:t>
            </w:r>
          </w:p>
        </w:tc>
        <w:tc>
          <w:tcPr>
            <w:tcW w:w="4913" w:type="dxa"/>
          </w:tcPr>
          <w:p w14:paraId="1D00148F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9" w:type="dxa"/>
          </w:tcPr>
          <w:p w14:paraId="27216820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D5BE5" w:rsidRPr="0098285E" w14:paraId="693A4F8B" w14:textId="77777777" w:rsidTr="00B8754E">
        <w:tc>
          <w:tcPr>
            <w:tcW w:w="3020" w:type="dxa"/>
          </w:tcPr>
          <w:p w14:paraId="06288C86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Day</w:t>
            </w:r>
          </w:p>
        </w:tc>
        <w:tc>
          <w:tcPr>
            <w:tcW w:w="4913" w:type="dxa"/>
          </w:tcPr>
          <w:p w14:paraId="5CA3A607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9" w:type="dxa"/>
          </w:tcPr>
          <w:p w14:paraId="0D2540F9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D5BE5" w:rsidRPr="0098285E" w14:paraId="5AFD5403" w14:textId="77777777" w:rsidTr="00B8754E">
        <w:tc>
          <w:tcPr>
            <w:tcW w:w="3020" w:type="dxa"/>
          </w:tcPr>
          <w:p w14:paraId="7D0A8572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Fish_Length_cm</w:t>
            </w:r>
            <w:proofErr w:type="spellEnd"/>
          </w:p>
        </w:tc>
        <w:tc>
          <w:tcPr>
            <w:tcW w:w="4913" w:type="dxa"/>
          </w:tcPr>
          <w:p w14:paraId="17AE7395" w14:textId="77777777" w:rsidR="00CD5BE5" w:rsidRPr="0098285E" w:rsidRDefault="007056B3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Total length </w:t>
            </w:r>
          </w:p>
        </w:tc>
        <w:tc>
          <w:tcPr>
            <w:tcW w:w="1129" w:type="dxa"/>
          </w:tcPr>
          <w:p w14:paraId="1A94D6B3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cm</w:t>
            </w:r>
          </w:p>
        </w:tc>
      </w:tr>
      <w:tr w:rsidR="00CD5BE5" w:rsidRPr="0098285E" w14:paraId="14574866" w14:textId="77777777" w:rsidTr="00B8754E">
        <w:tc>
          <w:tcPr>
            <w:tcW w:w="3020" w:type="dxa"/>
          </w:tcPr>
          <w:p w14:paraId="438CDFC4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Fish_Weight_kg</w:t>
            </w:r>
            <w:proofErr w:type="spellEnd"/>
          </w:p>
        </w:tc>
        <w:tc>
          <w:tcPr>
            <w:tcW w:w="4913" w:type="dxa"/>
          </w:tcPr>
          <w:p w14:paraId="0E713288" w14:textId="77777777" w:rsidR="00CD5BE5" w:rsidRPr="0098285E" w:rsidRDefault="007056B3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Wet weight</w:t>
            </w:r>
          </w:p>
        </w:tc>
        <w:tc>
          <w:tcPr>
            <w:tcW w:w="1129" w:type="dxa"/>
          </w:tcPr>
          <w:p w14:paraId="27AC3418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kg</w:t>
            </w:r>
          </w:p>
        </w:tc>
      </w:tr>
      <w:tr w:rsidR="00CD5BE5" w:rsidRPr="0098285E" w14:paraId="7C1681B3" w14:textId="77777777" w:rsidTr="00B8754E">
        <w:tc>
          <w:tcPr>
            <w:tcW w:w="3020" w:type="dxa"/>
          </w:tcPr>
          <w:p w14:paraId="73813610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Age_y</w:t>
            </w:r>
            <w:proofErr w:type="spellEnd"/>
          </w:p>
        </w:tc>
        <w:tc>
          <w:tcPr>
            <w:tcW w:w="4913" w:type="dxa"/>
          </w:tcPr>
          <w:p w14:paraId="3F03E8D1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9" w:type="dxa"/>
          </w:tcPr>
          <w:p w14:paraId="14076E13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Years</w:t>
            </w:r>
          </w:p>
        </w:tc>
      </w:tr>
      <w:tr w:rsidR="00CD5BE5" w:rsidRPr="0098285E" w14:paraId="44689E75" w14:textId="77777777" w:rsidTr="00B8754E">
        <w:tc>
          <w:tcPr>
            <w:tcW w:w="3020" w:type="dxa"/>
          </w:tcPr>
          <w:p w14:paraId="067AB614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Deg_stomach_fullness</w:t>
            </w:r>
            <w:proofErr w:type="spellEnd"/>
          </w:p>
        </w:tc>
        <w:tc>
          <w:tcPr>
            <w:tcW w:w="4913" w:type="dxa"/>
          </w:tcPr>
          <w:p w14:paraId="2CA7CF18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Degree of stomach fullness. </w:t>
            </w:r>
          </w:p>
        </w:tc>
        <w:tc>
          <w:tcPr>
            <w:tcW w:w="1129" w:type="dxa"/>
          </w:tcPr>
          <w:p w14:paraId="3CC09D8A" w14:textId="3D9E57E8" w:rsidR="00CD5BE5" w:rsidRPr="0098285E" w:rsidRDefault="00231E1C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D5BE5" w:rsidRPr="0098285E" w14:paraId="28C12746" w14:textId="77777777" w:rsidTr="00B8754E">
        <w:tc>
          <w:tcPr>
            <w:tcW w:w="3020" w:type="dxa"/>
          </w:tcPr>
          <w:p w14:paraId="7C93DAD9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Sex</w:t>
            </w:r>
          </w:p>
        </w:tc>
        <w:tc>
          <w:tcPr>
            <w:tcW w:w="4913" w:type="dxa"/>
          </w:tcPr>
          <w:p w14:paraId="07EE165E" w14:textId="77777777" w:rsidR="009151F6" w:rsidRDefault="00B24B11" w:rsidP="00B24B1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Sex codes:</w:t>
            </w:r>
          </w:p>
          <w:p w14:paraId="7A45E9A1" w14:textId="77777777" w:rsidR="00B24B11" w:rsidRDefault="00B24B11" w:rsidP="00B24B1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Not known: Blank</w:t>
            </w:r>
          </w:p>
          <w:p w14:paraId="5816CE93" w14:textId="77777777" w:rsidR="00B24B11" w:rsidRDefault="00B24B11" w:rsidP="00B24B1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Female: 1</w:t>
            </w:r>
          </w:p>
          <w:p w14:paraId="3714BB9D" w14:textId="77777777" w:rsidR="00B24B11" w:rsidRDefault="00B24B11" w:rsidP="00B24B1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Male: 2</w:t>
            </w:r>
          </w:p>
          <w:p w14:paraId="3B1E37F7" w14:textId="77777777" w:rsidR="00B24B11" w:rsidRDefault="00B24B11" w:rsidP="00B24B1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Intersex, transitional animals: 3</w:t>
            </w:r>
          </w:p>
          <w:p w14:paraId="6DEDCBBB" w14:textId="77777777" w:rsidR="00B24B11" w:rsidRDefault="00B24B11" w:rsidP="00B24B1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Interracial: 4</w:t>
            </w:r>
          </w:p>
          <w:p w14:paraId="4F3FA9B2" w14:textId="72759FB6" w:rsidR="00B401C8" w:rsidRPr="0098285E" w:rsidRDefault="003A7B9E" w:rsidP="00B24B1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Reference: </w:t>
            </w:r>
            <w:proofErr w:type="spellStart"/>
            <w:r w:rsidR="00B401C8">
              <w:rPr>
                <w:rFonts w:ascii="Times New Roman" w:hAnsi="Times New Roman" w:cs="Times New Roman"/>
                <w:lang w:val="en-US"/>
              </w:rPr>
              <w:t>Mjanger</w:t>
            </w:r>
            <w:proofErr w:type="spellEnd"/>
            <w:r w:rsidR="00B401C8">
              <w:rPr>
                <w:rFonts w:ascii="Times New Roman" w:hAnsi="Times New Roman" w:cs="Times New Roman"/>
                <w:lang w:val="en-US"/>
              </w:rPr>
              <w:t xml:space="preserve"> et al 2016.</w:t>
            </w:r>
          </w:p>
        </w:tc>
        <w:tc>
          <w:tcPr>
            <w:tcW w:w="1129" w:type="dxa"/>
          </w:tcPr>
          <w:p w14:paraId="585DFD09" w14:textId="5FFF51E8" w:rsidR="00CD5BE5" w:rsidRPr="0098285E" w:rsidRDefault="0054658F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D5BE5" w:rsidRPr="0098285E" w14:paraId="2568DF8A" w14:textId="77777777" w:rsidTr="00B8754E">
        <w:tc>
          <w:tcPr>
            <w:tcW w:w="3020" w:type="dxa"/>
          </w:tcPr>
          <w:p w14:paraId="150C7C94" w14:textId="77777777" w:rsidR="00CD5BE5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Prey</w:t>
            </w:r>
          </w:p>
        </w:tc>
        <w:tc>
          <w:tcPr>
            <w:tcW w:w="4913" w:type="dxa"/>
          </w:tcPr>
          <w:p w14:paraId="1B13EC92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  <w:r w:rsidR="00165FB6">
              <w:rPr>
                <w:rFonts w:ascii="Times New Roman" w:hAnsi="Times New Roman" w:cs="Times New Roman"/>
                <w:lang w:val="en-US"/>
              </w:rPr>
              <w:t>rey: denotes</w:t>
            </w:r>
            <w:r>
              <w:rPr>
                <w:rFonts w:ascii="Times New Roman" w:hAnsi="Times New Roman" w:cs="Times New Roman"/>
                <w:lang w:val="en-US"/>
              </w:rPr>
              <w:t xml:space="preserve"> prey, Empty</w:t>
            </w:r>
            <w:r w:rsidR="00165FB6">
              <w:rPr>
                <w:rFonts w:ascii="Times New Roman" w:hAnsi="Times New Roman" w:cs="Times New Roman"/>
                <w:lang w:val="en-US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represents empty stomachs</w:t>
            </w:r>
          </w:p>
        </w:tc>
        <w:tc>
          <w:tcPr>
            <w:tcW w:w="1129" w:type="dxa"/>
          </w:tcPr>
          <w:p w14:paraId="6667565B" w14:textId="77777777" w:rsidR="00CD5BE5" w:rsidRPr="0098285E" w:rsidRDefault="00CD0BAC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D5BE5" w:rsidRPr="0098285E" w14:paraId="5702D1E9" w14:textId="77777777" w:rsidTr="00B8754E">
        <w:tc>
          <w:tcPr>
            <w:tcW w:w="3020" w:type="dxa"/>
          </w:tcPr>
          <w:p w14:paraId="43547BFC" w14:textId="77777777" w:rsidR="00CD5BE5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Prey_weight</w:t>
            </w:r>
            <w:proofErr w:type="spellEnd"/>
          </w:p>
        </w:tc>
        <w:tc>
          <w:tcPr>
            <w:tcW w:w="4913" w:type="dxa"/>
          </w:tcPr>
          <w:p w14:paraId="1B255DFF" w14:textId="77777777" w:rsidR="00CD5BE5" w:rsidRDefault="00FF600A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Wet weight</w:t>
            </w:r>
          </w:p>
        </w:tc>
        <w:tc>
          <w:tcPr>
            <w:tcW w:w="1129" w:type="dxa"/>
          </w:tcPr>
          <w:p w14:paraId="0393C540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</w:t>
            </w:r>
          </w:p>
        </w:tc>
      </w:tr>
      <w:tr w:rsidR="00CD5BE5" w:rsidRPr="0098285E" w14:paraId="796A7DAC" w14:textId="77777777" w:rsidTr="00B8754E">
        <w:tc>
          <w:tcPr>
            <w:tcW w:w="3020" w:type="dxa"/>
          </w:tcPr>
          <w:p w14:paraId="223BB130" w14:textId="77777777" w:rsidR="00CD5BE5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Deg_digestion</w:t>
            </w:r>
            <w:proofErr w:type="spellEnd"/>
          </w:p>
        </w:tc>
        <w:tc>
          <w:tcPr>
            <w:tcW w:w="4913" w:type="dxa"/>
          </w:tcPr>
          <w:p w14:paraId="6709343C" w14:textId="77777777" w:rsidR="00CD5BE5" w:rsidRPr="00C72179" w:rsidRDefault="00CD5BE5" w:rsidP="00CD5BE5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C72179">
              <w:rPr>
                <w:sz w:val="22"/>
                <w:szCs w:val="22"/>
                <w:lang w:val="en-US"/>
              </w:rPr>
              <w:t xml:space="preserve">Degree of digestion codes: </w:t>
            </w:r>
          </w:p>
          <w:p w14:paraId="6725CBAB" w14:textId="77777777" w:rsidR="00CD5BE5" w:rsidRPr="00C72179" w:rsidRDefault="00CD5BE5" w:rsidP="00CD5BE5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C72179">
              <w:rPr>
                <w:sz w:val="22"/>
                <w:szCs w:val="22"/>
                <w:lang w:val="en-US"/>
              </w:rPr>
              <w:t xml:space="preserve">Blank: Not observed </w:t>
            </w:r>
          </w:p>
          <w:p w14:paraId="30035236" w14:textId="12056AE9" w:rsidR="00CD5BE5" w:rsidRPr="00C72179" w:rsidRDefault="00CD5BE5" w:rsidP="00CD5BE5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C72179">
              <w:rPr>
                <w:sz w:val="22"/>
                <w:szCs w:val="22"/>
                <w:lang w:val="en-US"/>
              </w:rPr>
              <w:t xml:space="preserve">1: </w:t>
            </w:r>
            <w:r w:rsidR="006975CC">
              <w:rPr>
                <w:sz w:val="22"/>
                <w:szCs w:val="22"/>
                <w:lang w:val="en-US"/>
              </w:rPr>
              <w:t>D</w:t>
            </w:r>
            <w:r w:rsidRPr="00C72179">
              <w:rPr>
                <w:sz w:val="22"/>
                <w:szCs w:val="22"/>
                <w:lang w:val="en-US"/>
              </w:rPr>
              <w:t xml:space="preserve">igestion </w:t>
            </w:r>
            <w:proofErr w:type="gramStart"/>
            <w:r w:rsidRPr="00C72179">
              <w:rPr>
                <w:sz w:val="22"/>
                <w:szCs w:val="22"/>
                <w:lang w:val="en-US"/>
              </w:rPr>
              <w:t>not started,</w:t>
            </w:r>
            <w:proofErr w:type="gramEnd"/>
            <w:r w:rsidRPr="00C72179">
              <w:rPr>
                <w:sz w:val="22"/>
                <w:szCs w:val="22"/>
                <w:lang w:val="en-US"/>
              </w:rPr>
              <w:t xml:space="preserve"> the stomach content seems fresh </w:t>
            </w:r>
          </w:p>
          <w:p w14:paraId="0A75BB76" w14:textId="77777777" w:rsidR="00CD5BE5" w:rsidRPr="00C72179" w:rsidRDefault="00CD5BE5" w:rsidP="00CD5BE5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C72179">
              <w:rPr>
                <w:sz w:val="22"/>
                <w:szCs w:val="22"/>
                <w:lang w:val="en-US"/>
              </w:rPr>
              <w:t xml:space="preserve">2: Digestion commenced </w:t>
            </w:r>
          </w:p>
          <w:p w14:paraId="61A5492D" w14:textId="77777777" w:rsidR="00CD5BE5" w:rsidRPr="00C72179" w:rsidRDefault="00CD5BE5" w:rsidP="00CD5BE5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C72179">
              <w:rPr>
                <w:sz w:val="22"/>
                <w:szCs w:val="22"/>
                <w:lang w:val="en-US"/>
              </w:rPr>
              <w:t xml:space="preserve">3: Digestion progressed; the species can no longer be identified. But one can separate systematic groups </w:t>
            </w:r>
          </w:p>
          <w:p w14:paraId="1CF51CBD" w14:textId="77777777" w:rsidR="00CD5BE5" w:rsidRPr="00C72179" w:rsidRDefault="00CD5BE5" w:rsidP="00CD5BE5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C72179">
              <w:rPr>
                <w:sz w:val="22"/>
                <w:szCs w:val="22"/>
                <w:lang w:val="en-US"/>
              </w:rPr>
              <w:t xml:space="preserve">4: Digestion far advanced, one can still find eyes and bigger pieces of prey in the stomach content </w:t>
            </w:r>
          </w:p>
          <w:p w14:paraId="005DFA4D" w14:textId="77777777" w:rsidR="00CC5127" w:rsidRDefault="00CD5BE5" w:rsidP="00CD5BE5">
            <w:pPr>
              <w:jc w:val="both"/>
              <w:rPr>
                <w:rFonts w:ascii="Times New Roman" w:hAnsi="Times New Roman" w:cs="Times New Roman"/>
              </w:rPr>
            </w:pPr>
            <w:r w:rsidRPr="00C72179">
              <w:rPr>
                <w:rFonts w:ascii="Times New Roman" w:hAnsi="Times New Roman" w:cs="Times New Roman"/>
              </w:rPr>
              <w:t xml:space="preserve">5: Digestion </w:t>
            </w:r>
            <w:proofErr w:type="gramStart"/>
            <w:r w:rsidRPr="00C72179">
              <w:rPr>
                <w:rFonts w:ascii="Times New Roman" w:hAnsi="Times New Roman" w:cs="Times New Roman"/>
              </w:rPr>
              <w:t>almost completed,</w:t>
            </w:r>
            <w:proofErr w:type="gramEnd"/>
            <w:r w:rsidRPr="00C72179">
              <w:rPr>
                <w:rFonts w:ascii="Times New Roman" w:hAnsi="Times New Roman" w:cs="Times New Roman"/>
              </w:rPr>
              <w:t xml:space="preserve"> the stomach content is porous. </w:t>
            </w:r>
          </w:p>
          <w:p w14:paraId="29FE6C38" w14:textId="0699008E" w:rsidR="003A7B9E" w:rsidRPr="008E77C5" w:rsidRDefault="003A7B9E" w:rsidP="00CD5B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Reference: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Mjanger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et al 2016.</w:t>
            </w:r>
          </w:p>
        </w:tc>
        <w:tc>
          <w:tcPr>
            <w:tcW w:w="1129" w:type="dxa"/>
          </w:tcPr>
          <w:p w14:paraId="208A6C53" w14:textId="77777777" w:rsidR="00CD5BE5" w:rsidRPr="0098285E" w:rsidRDefault="00CD0BAC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D5BE5" w:rsidRPr="0098285E" w14:paraId="397DED26" w14:textId="77777777" w:rsidTr="00B8754E">
        <w:tc>
          <w:tcPr>
            <w:tcW w:w="3020" w:type="dxa"/>
          </w:tcPr>
          <w:p w14:paraId="0564214E" w14:textId="77777777" w:rsidR="00CD5BE5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No_Prey</w:t>
            </w:r>
            <w:proofErr w:type="spellEnd"/>
          </w:p>
        </w:tc>
        <w:tc>
          <w:tcPr>
            <w:tcW w:w="4913" w:type="dxa"/>
          </w:tcPr>
          <w:p w14:paraId="6D5E5D83" w14:textId="77777777" w:rsidR="00CD5BE5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No. of prey items found in each stomach</w:t>
            </w:r>
          </w:p>
        </w:tc>
        <w:tc>
          <w:tcPr>
            <w:tcW w:w="1129" w:type="dxa"/>
          </w:tcPr>
          <w:p w14:paraId="583662EC" w14:textId="77777777" w:rsidR="00CD5BE5" w:rsidRPr="0098285E" w:rsidRDefault="00CD0BAC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D5BE5" w:rsidRPr="0098285E" w14:paraId="54A91BAA" w14:textId="77777777" w:rsidTr="00B8754E">
        <w:tc>
          <w:tcPr>
            <w:tcW w:w="3020" w:type="dxa"/>
          </w:tcPr>
          <w:p w14:paraId="2EFF967C" w14:textId="77777777" w:rsidR="00CD5BE5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Prey_length_cm</w:t>
            </w:r>
            <w:proofErr w:type="spellEnd"/>
          </w:p>
        </w:tc>
        <w:tc>
          <w:tcPr>
            <w:tcW w:w="4913" w:type="dxa"/>
          </w:tcPr>
          <w:p w14:paraId="4446954D" w14:textId="77777777" w:rsidR="00CD5BE5" w:rsidRDefault="00CD5BE5" w:rsidP="00CD5BE5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gramStart"/>
            <w:r w:rsidRPr="003F0CA7">
              <w:rPr>
                <w:sz w:val="22"/>
                <w:szCs w:val="22"/>
                <w:lang w:val="en-US"/>
              </w:rPr>
              <w:t>Len</w:t>
            </w:r>
            <w:r w:rsidR="00CD0BAC">
              <w:rPr>
                <w:sz w:val="22"/>
                <w:szCs w:val="22"/>
                <w:lang w:val="en-US"/>
              </w:rPr>
              <w:t>gth</w:t>
            </w:r>
            <w:r w:rsidR="00B24B11">
              <w:rPr>
                <w:sz w:val="22"/>
                <w:szCs w:val="22"/>
                <w:lang w:val="en-US"/>
              </w:rPr>
              <w:t xml:space="preserve"> </w:t>
            </w:r>
            <w:r w:rsidR="00CD0BAC">
              <w:rPr>
                <w:sz w:val="22"/>
                <w:szCs w:val="22"/>
                <w:lang w:val="en-US"/>
              </w:rPr>
              <w:t>of prey,</w:t>
            </w:r>
            <w:proofErr w:type="gramEnd"/>
            <w:r w:rsidR="009556D8">
              <w:rPr>
                <w:sz w:val="22"/>
                <w:szCs w:val="22"/>
                <w:lang w:val="en-US"/>
              </w:rPr>
              <w:t xml:space="preserve"> directly</w:t>
            </w:r>
            <w:r w:rsidR="00CD0BAC">
              <w:rPr>
                <w:sz w:val="22"/>
                <w:szCs w:val="22"/>
                <w:lang w:val="en-US"/>
              </w:rPr>
              <w:t xml:space="preserve"> converted using</w:t>
            </w:r>
            <w:r w:rsidRPr="003F0CA7">
              <w:rPr>
                <w:sz w:val="22"/>
                <w:szCs w:val="22"/>
                <w:lang w:val="en-US"/>
              </w:rPr>
              <w:t xml:space="preserve"> prey weight</w:t>
            </w:r>
            <w:r w:rsidR="008E77C5">
              <w:rPr>
                <w:sz w:val="22"/>
                <w:szCs w:val="22"/>
                <w:lang w:val="en-US"/>
              </w:rPr>
              <w:t>/prey size</w:t>
            </w:r>
            <w:r w:rsidR="008B3A37">
              <w:rPr>
                <w:sz w:val="22"/>
                <w:szCs w:val="22"/>
                <w:lang w:val="en-US"/>
              </w:rPr>
              <w:t xml:space="preserve"> information</w:t>
            </w:r>
            <w:r w:rsidRPr="003F0CA7">
              <w:rPr>
                <w:sz w:val="22"/>
                <w:szCs w:val="22"/>
                <w:lang w:val="en-US"/>
              </w:rPr>
              <w:t xml:space="preserve">. </w:t>
            </w:r>
          </w:p>
          <w:p w14:paraId="1F397617" w14:textId="2762689D" w:rsidR="003A7B9E" w:rsidRPr="003F0CA7" w:rsidRDefault="003A7B9E" w:rsidP="00CD5BE5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Reference: </w:t>
            </w:r>
            <w:proofErr w:type="spellStart"/>
            <w:r>
              <w:rPr>
                <w:lang w:val="en-US"/>
              </w:rPr>
              <w:t>Mjanger</w:t>
            </w:r>
            <w:proofErr w:type="spellEnd"/>
            <w:r>
              <w:rPr>
                <w:lang w:val="en-US"/>
              </w:rPr>
              <w:t xml:space="preserve"> et al 2016.</w:t>
            </w:r>
          </w:p>
        </w:tc>
        <w:tc>
          <w:tcPr>
            <w:tcW w:w="1129" w:type="dxa"/>
          </w:tcPr>
          <w:p w14:paraId="7A74247F" w14:textId="77777777" w:rsidR="00CD5BE5" w:rsidRPr="0098285E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cm</w:t>
            </w:r>
          </w:p>
        </w:tc>
      </w:tr>
      <w:tr w:rsidR="00CD5BE5" w:rsidRPr="0098285E" w14:paraId="7222408C" w14:textId="77777777" w:rsidTr="00B8754E">
        <w:tc>
          <w:tcPr>
            <w:tcW w:w="3020" w:type="dxa"/>
          </w:tcPr>
          <w:p w14:paraId="76972897" w14:textId="77777777" w:rsidR="00CD5BE5" w:rsidRDefault="00CD0BAC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lastRenderedPageBreak/>
              <w:t>Scientific_Name</w:t>
            </w:r>
            <w:proofErr w:type="spellEnd"/>
          </w:p>
        </w:tc>
        <w:tc>
          <w:tcPr>
            <w:tcW w:w="4913" w:type="dxa"/>
          </w:tcPr>
          <w:p w14:paraId="1FFD0EE9" w14:textId="77777777" w:rsidR="00CD5BE5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9" w:type="dxa"/>
          </w:tcPr>
          <w:p w14:paraId="4A31C368" w14:textId="77777777" w:rsidR="00CD5BE5" w:rsidRPr="0098285E" w:rsidRDefault="00CD0BAC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D5BE5" w:rsidRPr="0098285E" w14:paraId="797C3481" w14:textId="77777777" w:rsidTr="00B8754E">
        <w:tc>
          <w:tcPr>
            <w:tcW w:w="3020" w:type="dxa"/>
          </w:tcPr>
          <w:p w14:paraId="27133DE9" w14:textId="77777777" w:rsidR="00CD5BE5" w:rsidRDefault="00CD0BAC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English_Common_Name</w:t>
            </w:r>
            <w:proofErr w:type="spellEnd"/>
          </w:p>
        </w:tc>
        <w:tc>
          <w:tcPr>
            <w:tcW w:w="4913" w:type="dxa"/>
          </w:tcPr>
          <w:p w14:paraId="283AE1A6" w14:textId="77777777" w:rsidR="00CD5BE5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9" w:type="dxa"/>
          </w:tcPr>
          <w:p w14:paraId="75EF5426" w14:textId="77777777" w:rsidR="00CD5BE5" w:rsidRPr="0098285E" w:rsidRDefault="00CD0BAC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D5BE5" w:rsidRPr="0098285E" w14:paraId="26B91B0C" w14:textId="77777777" w:rsidTr="00B8754E">
        <w:tc>
          <w:tcPr>
            <w:tcW w:w="3020" w:type="dxa"/>
          </w:tcPr>
          <w:p w14:paraId="2CF73F10" w14:textId="77777777" w:rsidR="00CD5BE5" w:rsidRDefault="00CD5BE5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Prey_Category</w:t>
            </w:r>
            <w:proofErr w:type="spellEnd"/>
          </w:p>
        </w:tc>
        <w:tc>
          <w:tcPr>
            <w:tcW w:w="4913" w:type="dxa"/>
          </w:tcPr>
          <w:p w14:paraId="243B0894" w14:textId="168AC07B" w:rsidR="00CD5BE5" w:rsidRDefault="00CD5BE5" w:rsidP="00CB4BB7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Please see </w:t>
            </w:r>
            <w:r w:rsidR="00E55F35">
              <w:rPr>
                <w:rFonts w:ascii="Times New Roman" w:hAnsi="Times New Roman" w:cs="Times New Roman"/>
                <w:lang w:val="en-US"/>
              </w:rPr>
              <w:t>Supplementary Material</w:t>
            </w:r>
            <w:r w:rsidR="00CB4BB7">
              <w:rPr>
                <w:rFonts w:ascii="Times New Roman" w:hAnsi="Times New Roman" w:cs="Times New Roman"/>
                <w:lang w:val="en-US"/>
              </w:rPr>
              <w:t xml:space="preserve"> 1 for details</w:t>
            </w:r>
          </w:p>
        </w:tc>
        <w:tc>
          <w:tcPr>
            <w:tcW w:w="1129" w:type="dxa"/>
          </w:tcPr>
          <w:p w14:paraId="07C4DF59" w14:textId="77777777" w:rsidR="00CD5BE5" w:rsidRPr="0098285E" w:rsidRDefault="00CD0BAC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D0BAC" w:rsidRPr="0098285E" w14:paraId="064EE4CF" w14:textId="77777777" w:rsidTr="00B8754E">
        <w:tc>
          <w:tcPr>
            <w:tcW w:w="3020" w:type="dxa"/>
          </w:tcPr>
          <w:p w14:paraId="264F5A4D" w14:textId="77777777" w:rsidR="00CD0BAC" w:rsidRDefault="00CD0BAC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Latitude_dd</w:t>
            </w:r>
            <w:proofErr w:type="spellEnd"/>
          </w:p>
        </w:tc>
        <w:tc>
          <w:tcPr>
            <w:tcW w:w="4913" w:type="dxa"/>
          </w:tcPr>
          <w:p w14:paraId="4D4805A0" w14:textId="77777777" w:rsidR="00CD0BAC" w:rsidRDefault="00CD0BAC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9" w:type="dxa"/>
          </w:tcPr>
          <w:p w14:paraId="5F0CBA2B" w14:textId="77777777" w:rsidR="00CD0BAC" w:rsidRPr="0098285E" w:rsidRDefault="00CD0BAC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Decimal degrees</w:t>
            </w:r>
          </w:p>
        </w:tc>
      </w:tr>
      <w:tr w:rsidR="00CD0BAC" w:rsidRPr="0098285E" w14:paraId="05240833" w14:textId="77777777" w:rsidTr="00B8754E">
        <w:tc>
          <w:tcPr>
            <w:tcW w:w="3020" w:type="dxa"/>
          </w:tcPr>
          <w:p w14:paraId="1BAC7CDE" w14:textId="77777777" w:rsidR="00CD0BAC" w:rsidRDefault="00CD0BAC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Longitude_dd</w:t>
            </w:r>
            <w:proofErr w:type="spellEnd"/>
          </w:p>
        </w:tc>
        <w:tc>
          <w:tcPr>
            <w:tcW w:w="4913" w:type="dxa"/>
          </w:tcPr>
          <w:p w14:paraId="433F15CF" w14:textId="77777777" w:rsidR="00CD0BAC" w:rsidRDefault="00CD0BAC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9" w:type="dxa"/>
          </w:tcPr>
          <w:p w14:paraId="663472C6" w14:textId="77777777" w:rsidR="00CD0BAC" w:rsidRDefault="00040D0D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Decimal degrees</w:t>
            </w:r>
          </w:p>
        </w:tc>
      </w:tr>
      <w:tr w:rsidR="00040D0D" w:rsidRPr="0098285E" w14:paraId="0C1593D3" w14:textId="77777777" w:rsidTr="00B8754E">
        <w:tc>
          <w:tcPr>
            <w:tcW w:w="3020" w:type="dxa"/>
          </w:tcPr>
          <w:p w14:paraId="525B4014" w14:textId="77777777" w:rsidR="00040D0D" w:rsidRPr="00314A9F" w:rsidRDefault="00040D0D" w:rsidP="00CD5BE5">
            <w:pPr>
              <w:jc w:val="both"/>
              <w:rPr>
                <w:rFonts w:ascii="Times New Roman" w:hAnsi="Times New Roman" w:cs="Times New Roman"/>
                <w:highlight w:val="yellow"/>
                <w:lang w:val="en-US"/>
              </w:rPr>
            </w:pPr>
            <w:proofErr w:type="spellStart"/>
            <w:proofErr w:type="gramStart"/>
            <w:r w:rsidRPr="006E58AE">
              <w:rPr>
                <w:rFonts w:ascii="Times New Roman" w:hAnsi="Times New Roman" w:cs="Times New Roman"/>
                <w:lang w:val="en-US"/>
              </w:rPr>
              <w:t>Number.of.stomachs</w:t>
            </w:r>
            <w:proofErr w:type="spellEnd"/>
            <w:proofErr w:type="gramEnd"/>
          </w:p>
        </w:tc>
        <w:tc>
          <w:tcPr>
            <w:tcW w:w="4913" w:type="dxa"/>
          </w:tcPr>
          <w:p w14:paraId="11B617E9" w14:textId="77777777" w:rsidR="00040D0D" w:rsidRPr="00314A9F" w:rsidRDefault="00040D0D" w:rsidP="00CD5BE5">
            <w:pPr>
              <w:jc w:val="both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1129" w:type="dxa"/>
          </w:tcPr>
          <w:p w14:paraId="11BFF48E" w14:textId="4F83EB82" w:rsidR="00040D0D" w:rsidRDefault="0005308A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040D0D" w:rsidRPr="0098285E" w14:paraId="38BC6969" w14:textId="77777777" w:rsidTr="00B8754E">
        <w:tc>
          <w:tcPr>
            <w:tcW w:w="3020" w:type="dxa"/>
          </w:tcPr>
          <w:p w14:paraId="32D4CDE2" w14:textId="77777777" w:rsidR="00040D0D" w:rsidRPr="006975CC" w:rsidRDefault="00040D0D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975CC">
              <w:rPr>
                <w:rFonts w:ascii="Times New Roman" w:hAnsi="Times New Roman" w:cs="Times New Roman"/>
                <w:lang w:val="en-US"/>
              </w:rPr>
              <w:t>Pooled</w:t>
            </w:r>
          </w:p>
        </w:tc>
        <w:tc>
          <w:tcPr>
            <w:tcW w:w="4913" w:type="dxa"/>
          </w:tcPr>
          <w:p w14:paraId="28EB34D7" w14:textId="73396723" w:rsidR="00040D0D" w:rsidRPr="006975CC" w:rsidRDefault="006975CC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975CC">
              <w:rPr>
                <w:rFonts w:ascii="Times New Roman" w:hAnsi="Times New Roman" w:cs="Times New Roman"/>
                <w:lang w:val="en-US"/>
              </w:rPr>
              <w:t>Record contains data for more than one stomach, with all contents data pooled.</w:t>
            </w:r>
          </w:p>
        </w:tc>
        <w:tc>
          <w:tcPr>
            <w:tcW w:w="1129" w:type="dxa"/>
          </w:tcPr>
          <w:p w14:paraId="6256D87F" w14:textId="7C36A365" w:rsidR="00040D0D" w:rsidRDefault="006975CC" w:rsidP="00CD5BE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14:paraId="2F24C2DA" w14:textId="77777777" w:rsidR="00B8754E" w:rsidRDefault="00B8754E" w:rsidP="00B8754E">
      <w:pPr>
        <w:spacing w:after="0"/>
        <w:jc w:val="both"/>
        <w:rPr>
          <w:rFonts w:ascii="Times New Roman" w:hAnsi="Times New Roman" w:cs="Times New Roman"/>
          <w:lang w:val="en-US"/>
        </w:rPr>
      </w:pPr>
    </w:p>
    <w:p w14:paraId="1A04B02E" w14:textId="77777777" w:rsidR="00CB75EE" w:rsidRDefault="00CB75EE" w:rsidP="00B8754E">
      <w:pPr>
        <w:spacing w:after="0"/>
        <w:jc w:val="both"/>
        <w:rPr>
          <w:rFonts w:ascii="Times New Roman" w:hAnsi="Times New Roman" w:cs="Times New Roman"/>
          <w:lang w:val="en-US"/>
        </w:rPr>
      </w:pPr>
    </w:p>
    <w:p w14:paraId="122E38FD" w14:textId="3FEB0B54" w:rsidR="00644D8D" w:rsidRDefault="00903ACA" w:rsidP="00B8754E">
      <w:pPr>
        <w:spacing w:after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References:</w:t>
      </w:r>
    </w:p>
    <w:p w14:paraId="371E5E92" w14:textId="36D56D90" w:rsidR="00903ACA" w:rsidRPr="00903ACA" w:rsidRDefault="00903ACA" w:rsidP="00B8754E">
      <w:pPr>
        <w:spacing w:after="0"/>
        <w:jc w:val="both"/>
        <w:rPr>
          <w:rFonts w:ascii="Times New Roman" w:hAnsi="Times New Roman" w:cs="Times New Roman"/>
          <w:lang w:val="nb-NO"/>
        </w:rPr>
      </w:pPr>
      <w:r w:rsidRPr="00903ACA">
        <w:rPr>
          <w:rFonts w:ascii="Times New Roman" w:hAnsi="Times New Roman" w:cs="Times New Roman"/>
          <w:lang w:val="nb-NO"/>
        </w:rPr>
        <w:t>Mjanger, H., Hestenes, K., Svendsen,</w:t>
      </w:r>
      <w:r>
        <w:rPr>
          <w:rFonts w:ascii="Times New Roman" w:hAnsi="Times New Roman" w:cs="Times New Roman"/>
          <w:lang w:val="nb-NO"/>
        </w:rPr>
        <w:t xml:space="preserve"> B.V., Senneset, H., and Fotland, Å. 2016. Håndbok for </w:t>
      </w:r>
      <w:r>
        <w:rPr>
          <w:rFonts w:ascii="Times New Roman" w:hAnsi="Times New Roman" w:cs="Times New Roman"/>
          <w:lang w:val="nb-NO"/>
        </w:rPr>
        <w:tab/>
        <w:t>prøvetaking av fisk og krepsdyr. Versjon 4.0 (SPD)</w:t>
      </w:r>
      <w:r w:rsidR="00933E4D">
        <w:rPr>
          <w:rFonts w:ascii="Times New Roman" w:hAnsi="Times New Roman" w:cs="Times New Roman"/>
          <w:lang w:val="nb-NO"/>
        </w:rPr>
        <w:t>.</w:t>
      </w:r>
      <w:r w:rsidR="00863D67">
        <w:rPr>
          <w:rFonts w:ascii="Times New Roman" w:hAnsi="Times New Roman" w:cs="Times New Roman"/>
          <w:lang w:val="nb-NO"/>
        </w:rPr>
        <w:t xml:space="preserve"> Pp 1-193.</w:t>
      </w:r>
      <w:r w:rsidR="00933E4D">
        <w:rPr>
          <w:rFonts w:ascii="Times New Roman" w:hAnsi="Times New Roman" w:cs="Times New Roman"/>
          <w:lang w:val="nb-NO"/>
        </w:rPr>
        <w:t xml:space="preserve"> In Norwegian.</w:t>
      </w:r>
    </w:p>
    <w:sectPr w:rsidR="00903ACA" w:rsidRPr="00903A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81677" w14:textId="77777777" w:rsidR="00406FCF" w:rsidRDefault="00406FCF" w:rsidP="00AD32EB">
      <w:pPr>
        <w:spacing w:after="0" w:line="240" w:lineRule="auto"/>
      </w:pPr>
      <w:r>
        <w:separator/>
      </w:r>
    </w:p>
  </w:endnote>
  <w:endnote w:type="continuationSeparator" w:id="0">
    <w:p w14:paraId="1770A9C6" w14:textId="77777777" w:rsidR="00406FCF" w:rsidRDefault="00406FCF" w:rsidP="00AD3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EC3B9" w14:textId="77777777" w:rsidR="006975CC" w:rsidRDefault="006975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5245921"/>
      <w:docPartObj>
        <w:docPartGallery w:val="Page Numbers (Bottom of Page)"/>
        <w:docPartUnique/>
      </w:docPartObj>
    </w:sdtPr>
    <w:sdtEndPr/>
    <w:sdtContent>
      <w:p w14:paraId="09E8543C" w14:textId="143CF3CD" w:rsidR="00AD32EB" w:rsidRDefault="00AD32E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546" w:rsidRPr="00243546">
          <w:rPr>
            <w:noProof/>
            <w:lang w:val="nb-NO"/>
          </w:rPr>
          <w:t>1</w:t>
        </w:r>
        <w:r>
          <w:fldChar w:fldCharType="end"/>
        </w:r>
      </w:p>
    </w:sdtContent>
  </w:sdt>
  <w:p w14:paraId="30F42936" w14:textId="77777777" w:rsidR="00AD32EB" w:rsidRDefault="00AD32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846CF" w14:textId="77777777" w:rsidR="006975CC" w:rsidRDefault="006975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C1D7A" w14:textId="77777777" w:rsidR="00406FCF" w:rsidRDefault="00406FCF" w:rsidP="00AD32EB">
      <w:pPr>
        <w:spacing w:after="0" w:line="240" w:lineRule="auto"/>
      </w:pPr>
      <w:r>
        <w:separator/>
      </w:r>
    </w:p>
  </w:footnote>
  <w:footnote w:type="continuationSeparator" w:id="0">
    <w:p w14:paraId="1EE8C18A" w14:textId="77777777" w:rsidR="00406FCF" w:rsidRDefault="00406FCF" w:rsidP="00AD3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E2148" w14:textId="77777777" w:rsidR="006975CC" w:rsidRDefault="006975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C74CE" w14:textId="5FC4B8C2" w:rsidR="00CC5127" w:rsidRPr="00CC5127" w:rsidRDefault="009E4424" w:rsidP="00CC5127">
    <w:pPr>
      <w:spacing w:after="0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Townhill et al. </w:t>
    </w:r>
    <w:r w:rsidR="00CC5127" w:rsidRPr="00CC5127">
      <w:rPr>
        <w:rFonts w:ascii="Times New Roman" w:hAnsi="Times New Roman" w:cs="Times New Roman"/>
      </w:rPr>
      <w:t>Barents Sea cod diet data from the 1930s to the present day</w:t>
    </w:r>
  </w:p>
  <w:p w14:paraId="4309CD3D" w14:textId="3077003E" w:rsidR="00BC7BFF" w:rsidRPr="00271B4B" w:rsidRDefault="00C46EA8" w:rsidP="00CC5127">
    <w:pPr>
      <w:pStyle w:val="Header"/>
      <w:rPr>
        <w:rFonts w:ascii="Times New Roman" w:hAnsi="Times New Roman" w:cs="Times New Roman"/>
        <w:lang w:val="en-US"/>
      </w:rPr>
    </w:pPr>
    <w:r w:rsidRPr="00C46EA8">
      <w:rPr>
        <w:rFonts w:ascii="Times New Roman" w:hAnsi="Times New Roman" w:cs="Times New Roman"/>
      </w:rPr>
      <w:t>Supplementary</w:t>
    </w:r>
    <w:r>
      <w:rPr>
        <w:rFonts w:ascii="Times New Roman" w:hAnsi="Times New Roman" w:cs="Times New Roman"/>
      </w:rPr>
      <w:t xml:space="preserve"> </w:t>
    </w:r>
    <w:r w:rsidR="008D4CD0">
      <w:rPr>
        <w:rFonts w:ascii="Times New Roman" w:hAnsi="Times New Roman" w:cs="Times New Roman"/>
      </w:rPr>
      <w:t>M</w:t>
    </w:r>
    <w:r>
      <w:rPr>
        <w:rFonts w:ascii="Times New Roman" w:hAnsi="Times New Roman" w:cs="Times New Roman"/>
      </w:rPr>
      <w:t>aterial</w:t>
    </w:r>
    <w:r w:rsidR="00BD48C2" w:rsidRPr="00271B4B">
      <w:rPr>
        <w:rFonts w:ascii="Times New Roman" w:hAnsi="Times New Roman" w:cs="Times New Roman"/>
        <w:lang w:val="en-US"/>
      </w:rPr>
      <w:t xml:space="preserve">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D2DAA" w14:textId="77777777" w:rsidR="006975CC" w:rsidRDefault="006975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54E"/>
    <w:rsid w:val="00004035"/>
    <w:rsid w:val="00036FE7"/>
    <w:rsid w:val="00040D0D"/>
    <w:rsid w:val="0005308A"/>
    <w:rsid w:val="000F2CA9"/>
    <w:rsid w:val="001505BE"/>
    <w:rsid w:val="00155C53"/>
    <w:rsid w:val="00165FB6"/>
    <w:rsid w:val="00192F68"/>
    <w:rsid w:val="001F5A2F"/>
    <w:rsid w:val="002149A2"/>
    <w:rsid w:val="0023060E"/>
    <w:rsid w:val="00231E1C"/>
    <w:rsid w:val="00243546"/>
    <w:rsid w:val="00270527"/>
    <w:rsid w:val="00271B4B"/>
    <w:rsid w:val="00271CA6"/>
    <w:rsid w:val="002913E5"/>
    <w:rsid w:val="0029782C"/>
    <w:rsid w:val="002B4CE3"/>
    <w:rsid w:val="00314A9F"/>
    <w:rsid w:val="00384955"/>
    <w:rsid w:val="003A2619"/>
    <w:rsid w:val="003A7B9E"/>
    <w:rsid w:val="003C2954"/>
    <w:rsid w:val="003F09AB"/>
    <w:rsid w:val="003F0CA7"/>
    <w:rsid w:val="00406FCF"/>
    <w:rsid w:val="00431E9D"/>
    <w:rsid w:val="00513C34"/>
    <w:rsid w:val="00527666"/>
    <w:rsid w:val="0053375B"/>
    <w:rsid w:val="0054658F"/>
    <w:rsid w:val="00583093"/>
    <w:rsid w:val="00595AF3"/>
    <w:rsid w:val="005C5928"/>
    <w:rsid w:val="006417E4"/>
    <w:rsid w:val="00644D8D"/>
    <w:rsid w:val="00692BC4"/>
    <w:rsid w:val="006975CC"/>
    <w:rsid w:val="006C6945"/>
    <w:rsid w:val="006E58AE"/>
    <w:rsid w:val="007056B3"/>
    <w:rsid w:val="00711BBA"/>
    <w:rsid w:val="00746509"/>
    <w:rsid w:val="00764E5B"/>
    <w:rsid w:val="00781590"/>
    <w:rsid w:val="0078624B"/>
    <w:rsid w:val="00797166"/>
    <w:rsid w:val="007D2BF7"/>
    <w:rsid w:val="007D3E0D"/>
    <w:rsid w:val="008047C4"/>
    <w:rsid w:val="0081400C"/>
    <w:rsid w:val="00831505"/>
    <w:rsid w:val="00863D67"/>
    <w:rsid w:val="008B3A37"/>
    <w:rsid w:val="008D4CD0"/>
    <w:rsid w:val="008E6F5D"/>
    <w:rsid w:val="008E77C5"/>
    <w:rsid w:val="008F4355"/>
    <w:rsid w:val="008F7951"/>
    <w:rsid w:val="00900BC7"/>
    <w:rsid w:val="00903ACA"/>
    <w:rsid w:val="009151F6"/>
    <w:rsid w:val="00933E4D"/>
    <w:rsid w:val="009556D8"/>
    <w:rsid w:val="0098285E"/>
    <w:rsid w:val="00984A59"/>
    <w:rsid w:val="009B6902"/>
    <w:rsid w:val="009D1D92"/>
    <w:rsid w:val="009E2D48"/>
    <w:rsid w:val="009E4424"/>
    <w:rsid w:val="00A06B51"/>
    <w:rsid w:val="00AC2476"/>
    <w:rsid w:val="00AD32EB"/>
    <w:rsid w:val="00AE742A"/>
    <w:rsid w:val="00B24B11"/>
    <w:rsid w:val="00B401C8"/>
    <w:rsid w:val="00B5100A"/>
    <w:rsid w:val="00B65489"/>
    <w:rsid w:val="00B7207D"/>
    <w:rsid w:val="00B8754E"/>
    <w:rsid w:val="00BA707D"/>
    <w:rsid w:val="00BC7BFF"/>
    <w:rsid w:val="00BD48C2"/>
    <w:rsid w:val="00C46EA8"/>
    <w:rsid w:val="00C639DD"/>
    <w:rsid w:val="00C72179"/>
    <w:rsid w:val="00CB4BB7"/>
    <w:rsid w:val="00CB75EE"/>
    <w:rsid w:val="00CC5127"/>
    <w:rsid w:val="00CD0BAC"/>
    <w:rsid w:val="00CD5BE5"/>
    <w:rsid w:val="00CF3C67"/>
    <w:rsid w:val="00D82E1B"/>
    <w:rsid w:val="00D837AE"/>
    <w:rsid w:val="00DE63CF"/>
    <w:rsid w:val="00E10D2F"/>
    <w:rsid w:val="00E11796"/>
    <w:rsid w:val="00E13F6A"/>
    <w:rsid w:val="00E55F35"/>
    <w:rsid w:val="00E624AC"/>
    <w:rsid w:val="00EB381F"/>
    <w:rsid w:val="00F32F63"/>
    <w:rsid w:val="00F76DD2"/>
    <w:rsid w:val="00FF5FA5"/>
    <w:rsid w:val="00FF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9BB8471"/>
  <w15:chartTrackingRefBased/>
  <w15:docId w15:val="{BBAB59EC-5FEB-4373-B16C-33D376B6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75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B87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3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32E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D3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2EB"/>
    <w:rPr>
      <w:lang w:val="en-GB"/>
    </w:rPr>
  </w:style>
  <w:style w:type="character" w:styleId="Hyperlink">
    <w:name w:val="Hyperlink"/>
    <w:basedOn w:val="DefaultParagraphFont"/>
    <w:uiPriority w:val="99"/>
    <w:unhideWhenUsed/>
    <w:rsid w:val="00900BC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14A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A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A9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A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A9F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A9F"/>
    <w:rPr>
      <w:rFonts w:ascii="Segoe UI" w:hAnsi="Segoe UI" w:cs="Segoe UI"/>
      <w:sz w:val="18"/>
      <w:szCs w:val="18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4D8D"/>
    <w:pPr>
      <w:spacing w:after="0" w:line="240" w:lineRule="auto"/>
    </w:pPr>
    <w:rPr>
      <w:rFonts w:ascii="Calibri" w:hAnsi="Calibri"/>
      <w:szCs w:val="21"/>
      <w:lang w:val="nb-NO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4D8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6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Emma Holt</dc:creator>
  <cp:keywords/>
  <dc:description/>
  <cp:lastModifiedBy>Bryony Townhill (Cefas)</cp:lastModifiedBy>
  <cp:revision>2</cp:revision>
  <cp:lastPrinted>2018-11-05T13:50:00Z</cp:lastPrinted>
  <dcterms:created xsi:type="dcterms:W3CDTF">2020-04-16T08:49:00Z</dcterms:created>
  <dcterms:modified xsi:type="dcterms:W3CDTF">2020-04-16T08:49:00Z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c2ddd0-afbf-49e4-8b02-da81def1ba6b_Enabled">
    <vt:lpwstr>True</vt:lpwstr>
  </property>
  <property fmtid="{D5CDD505-2E9C-101B-9397-08002B2CF9AE}" pid="3" name="MSIP_Label_a0c2ddd0-afbf-49e4-8b02-da81def1ba6b_SiteId">
    <vt:lpwstr>eeea3199-afa0-41eb-bbf2-f6e42c3da7cf</vt:lpwstr>
  </property>
  <property fmtid="{D5CDD505-2E9C-101B-9397-08002B2CF9AE}" pid="4" name="MSIP_Label_a0c2ddd0-afbf-49e4-8b02-da81def1ba6b_Owner">
    <vt:lpwstr>bryony.townhill@cefas.co.uk</vt:lpwstr>
  </property>
  <property fmtid="{D5CDD505-2E9C-101B-9397-08002B2CF9AE}" pid="5" name="MSIP_Label_a0c2ddd0-afbf-49e4-8b02-da81def1ba6b_SetDate">
    <vt:lpwstr>2020-04-14T20:36:03.4822480Z</vt:lpwstr>
  </property>
  <property fmtid="{D5CDD505-2E9C-101B-9397-08002B2CF9AE}" pid="6" name="MSIP_Label_a0c2ddd0-afbf-49e4-8b02-da81def1ba6b_Name">
    <vt:lpwstr>Official</vt:lpwstr>
  </property>
  <property fmtid="{D5CDD505-2E9C-101B-9397-08002B2CF9AE}" pid="7" name="MSIP_Label_a0c2ddd0-afbf-49e4-8b02-da81def1ba6b_Application">
    <vt:lpwstr>Microsoft Azure Information Protection</vt:lpwstr>
  </property>
  <property fmtid="{D5CDD505-2E9C-101B-9397-08002B2CF9AE}" pid="8" name="MSIP_Label_a0c2ddd0-afbf-49e4-8b02-da81def1ba6b_ActionId">
    <vt:lpwstr>b4f1f583-6275-4e61-b5d8-7d0045d9e6e4</vt:lpwstr>
  </property>
  <property fmtid="{D5CDD505-2E9C-101B-9397-08002B2CF9AE}" pid="9" name="MSIP_Label_a0c2ddd0-afbf-49e4-8b02-da81def1ba6b_Extended_MSFT_Method">
    <vt:lpwstr>Automatic</vt:lpwstr>
  </property>
  <property fmtid="{D5CDD505-2E9C-101B-9397-08002B2CF9AE}" pid="10" name="Sensitivity">
    <vt:lpwstr>Official</vt:lpwstr>
  </property>
</Properties>
</file>